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49A2" w14:textId="77777777" w:rsidR="00E65A19" w:rsidRDefault="000B1C2A">
      <w:pPr>
        <w:adjustRightInd w:val="0"/>
        <w:snapToGrid w:val="0"/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21"/>
        </w:rPr>
      </w:pPr>
      <w:bookmarkStart w:id="0" w:name="_Ref52023749"/>
      <w:bookmarkStart w:id="1" w:name="_GoBack"/>
      <w:bookmarkEnd w:id="1"/>
      <w:r>
        <w:rPr>
          <w:rFonts w:ascii="Times New Roman" w:eastAsia="Times New Roman" w:hAnsi="Times New Roman" w:cs="Times New Roman" w:hint="eastAsia"/>
          <w:b/>
          <w:sz w:val="18"/>
          <w:szCs w:val="21"/>
        </w:rPr>
        <w:t>Supplementary Table</w:t>
      </w:r>
      <w:r>
        <w:rPr>
          <w:rFonts w:ascii="Times New Roman" w:eastAsia="Times New Roman" w:hAnsi="Times New Roman" w:cs="Times New Roman"/>
          <w:b/>
          <w:sz w:val="18"/>
          <w:szCs w:val="21"/>
        </w:rPr>
        <w:t xml:space="preserve"> 1</w:t>
      </w:r>
      <w:bookmarkEnd w:id="0"/>
      <w:r>
        <w:rPr>
          <w:rFonts w:ascii="Times New Roman" w:eastAsia="Times New Roman" w:hAnsi="Times New Roman" w:cs="Times New Roman"/>
          <w:b/>
          <w:sz w:val="18"/>
          <w:szCs w:val="21"/>
        </w:rPr>
        <w:t xml:space="preserve">. </w:t>
      </w:r>
      <w:r>
        <w:rPr>
          <w:rFonts w:ascii="Times New Roman" w:eastAsia="Times New Roman" w:hAnsi="Times New Roman" w:cs="Times New Roman" w:hint="eastAsia"/>
          <w:b/>
          <w:sz w:val="18"/>
          <w:szCs w:val="21"/>
        </w:rPr>
        <w:t>Extracted MCG parameters.</w:t>
      </w:r>
    </w:p>
    <w:tbl>
      <w:tblPr>
        <w:tblW w:w="110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5"/>
        <w:gridCol w:w="4618"/>
        <w:gridCol w:w="2875"/>
      </w:tblGrid>
      <w:tr w:rsidR="00E65A19" w14:paraId="4F86263E" w14:textId="77777777">
        <w:trPr>
          <w:trHeight w:val="229"/>
          <w:jc w:val="center"/>
        </w:trPr>
        <w:tc>
          <w:tcPr>
            <w:tcW w:w="3575" w:type="dxa"/>
            <w:shd w:val="clear" w:color="auto" w:fill="auto"/>
            <w:vAlign w:val="center"/>
          </w:tcPr>
          <w:p w14:paraId="375C1F9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21"/>
              </w:rPr>
              <w:t>Classification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24C0BF2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21"/>
              </w:rPr>
              <w:t>Parameter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5E516D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21"/>
              </w:rPr>
              <w:t>Description</w:t>
            </w:r>
          </w:p>
        </w:tc>
      </w:tr>
      <w:tr w:rsidR="00E65A19" w14:paraId="72633AC6" w14:textId="77777777">
        <w:trPr>
          <w:jc w:val="center"/>
        </w:trPr>
        <w:tc>
          <w:tcPr>
            <w:tcW w:w="3575" w:type="dxa"/>
            <w:vMerge w:val="restart"/>
            <w:shd w:val="clear" w:color="auto" w:fill="auto"/>
          </w:tcPr>
          <w:p w14:paraId="304FD37C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Basic electrophysiological parameters</w:t>
            </w:r>
          </w:p>
          <w:p w14:paraId="0BDFF64B" w14:textId="77777777" w:rsidR="00E65A19" w:rsidRDefault="00E65A19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1A0B1A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PR interval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BFCA21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Interval from onset of P wave to onset of QRS complex</w:t>
            </w:r>
          </w:p>
        </w:tc>
      </w:tr>
      <w:tr w:rsidR="00E65A19" w14:paraId="23E53072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23083F3E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C778C9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QRS interval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6008281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Duration of the QRS complex</w:t>
            </w:r>
          </w:p>
        </w:tc>
      </w:tr>
      <w:tr w:rsidR="00E65A19" w14:paraId="1B144C33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70D71BD5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161777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QT interval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117E50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Interval from onset of QRS complex to end of T wave</w:t>
            </w:r>
          </w:p>
        </w:tc>
      </w:tr>
      <w:tr w:rsidR="00E65A19" w14:paraId="1E0F6AC6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6E486A8F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C37754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QTc interval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99BC68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Heart-rate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–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corrected QT interval</w:t>
            </w:r>
          </w:p>
        </w:tc>
      </w:tr>
      <w:tr w:rsidR="00E65A19" w14:paraId="32DE3A5E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0ADC9B27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162589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ST segment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23EF13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ST-segment level/deviation relative to isoelectric baseline</w:t>
            </w:r>
          </w:p>
        </w:tc>
      </w:tr>
      <w:tr w:rsidR="00E65A19" w14:paraId="43AE4488" w14:textId="77777777">
        <w:trPr>
          <w:jc w:val="center"/>
        </w:trPr>
        <w:tc>
          <w:tcPr>
            <w:tcW w:w="3575" w:type="dxa"/>
            <w:vMerge w:val="restart"/>
            <w:shd w:val="clear" w:color="auto" w:fill="auto"/>
          </w:tcPr>
          <w:p w14:paraId="1EEC2B5E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Magnetic field strength and vector parameters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765C104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R/T magnetic strength ratio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8DD188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Ratio of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 xml:space="preserve"> R-wave to T-wave magnetic field strength</w:t>
            </w:r>
          </w:p>
        </w:tc>
      </w:tr>
      <w:tr w:rsidR="00E65A19" w14:paraId="1E023DAE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64E8A3A9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118F90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T-wave peak positive/negative magnetic strength ratio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16D2F9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Ratio of positive to negative magnetic field strength at T peak</w:t>
            </w:r>
          </w:p>
        </w:tc>
      </w:tr>
      <w:tr w:rsidR="00E65A19" w14:paraId="1D6FAE17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3BC1DAE1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0F9A55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MCV amplitude (at R-wave peak)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88CB66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Amplitude of magnetic current vector at R-wave peak</w:t>
            </w:r>
          </w:p>
        </w:tc>
      </w:tr>
      <w:tr w:rsidR="00E65A19" w14:paraId="6B6612D3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6C7AED84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9EAF8E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 xml:space="preserve">TCV 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angle (at R-wave peak)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AD0F59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Angle of total current vector at R-wave peak</w:t>
            </w:r>
          </w:p>
        </w:tc>
      </w:tr>
      <w:tr w:rsidR="00E65A19" w14:paraId="0F6F153D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0145F3C7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DC82FA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MCV amplitude (at T-wave peak)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761DC9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Amplitude of magnetic current vector at T-wave peak</w:t>
            </w:r>
          </w:p>
        </w:tc>
      </w:tr>
      <w:tr w:rsidR="00E65A19" w14:paraId="45774BC5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45C196A4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13D44F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TCV angle (at T-wave peak)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4E6E54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Angle of total current vector at T-wave peak</w:t>
            </w:r>
          </w:p>
        </w:tc>
      </w:tr>
      <w:tr w:rsidR="00E65A19" w14:paraId="471CD1E8" w14:textId="77777777">
        <w:trPr>
          <w:jc w:val="center"/>
        </w:trPr>
        <w:tc>
          <w:tcPr>
            <w:tcW w:w="3575" w:type="dxa"/>
            <w:vMerge w:val="restart"/>
            <w:shd w:val="clear" w:color="auto" w:fill="auto"/>
          </w:tcPr>
          <w:p w14:paraId="6A38A153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Spatial vector metrics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4564EAB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Dipole distance (at R-wave peak)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A16E8D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Distance between positive and negative dipole centers at R peak</w:t>
            </w:r>
          </w:p>
        </w:tc>
      </w:tr>
      <w:tr w:rsidR="00E65A19" w14:paraId="40402E7E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0F7CD826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A38893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Dipole distance (at T-wave peak)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5B48C6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Distance between positive and negative dipole centers at T peak</w:t>
            </w:r>
          </w:p>
        </w:tc>
      </w:tr>
      <w:tr w:rsidR="00E65A19" w14:paraId="22A51660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1D2390E4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69990D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Dipole angle (at R-wave peak)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F91C1E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 xml:space="preserve">Orientation angle of the 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dipole at R-wave peak</w:t>
            </w:r>
          </w:p>
        </w:tc>
      </w:tr>
      <w:tr w:rsidR="00E65A19" w14:paraId="6EB3B989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0C2A77A7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F9E637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Dipole angle (at T-wave peak)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6C41CC9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Orientation angle of the dipole at T-wave peak</w:t>
            </w:r>
          </w:p>
        </w:tc>
      </w:tr>
      <w:tr w:rsidR="00E65A19" w14:paraId="1D43BAD7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374D87AD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8BB3AD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Half T-wave vector distance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EDD589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Distance of the vector at half-T-wave time point</w:t>
            </w:r>
          </w:p>
        </w:tc>
      </w:tr>
      <w:tr w:rsidR="00E65A19" w14:paraId="721B3098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3983DD17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130565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Half T-wave vector angle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B33C89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 xml:space="preserve">Orientation angle of the vector at half-T-wave 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time point</w:t>
            </w:r>
          </w:p>
        </w:tc>
      </w:tr>
      <w:tr w:rsidR="00E65A19" w14:paraId="7DD1551E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44BBAB72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8DE815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Angular change of vector from half T-wave to T-wave peak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4A80AA4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Change in vector angle from half-T-wave to T-wave peak</w:t>
            </w:r>
          </w:p>
        </w:tc>
      </w:tr>
      <w:tr w:rsidR="00E65A19" w14:paraId="7462681E" w14:textId="77777777">
        <w:trPr>
          <w:jc w:val="center"/>
        </w:trPr>
        <w:tc>
          <w:tcPr>
            <w:tcW w:w="3575" w:type="dxa"/>
            <w:vMerge w:val="restart"/>
            <w:shd w:val="clear" w:color="auto" w:fill="auto"/>
          </w:tcPr>
          <w:p w14:paraId="3BD62873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Composite parameters and risk assessments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00CBECC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Composite MCG parameter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6086E8E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Composite index derived from multiple MCG parameters</w:t>
            </w:r>
          </w:p>
        </w:tc>
      </w:tr>
      <w:tr w:rsidR="00E65A19" w14:paraId="3A026E9F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448A2C94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928B6E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Composite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 xml:space="preserve"> MCG vector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F1A30B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Composite vector-based index derived from MCG metrics</w:t>
            </w:r>
          </w:p>
        </w:tc>
      </w:tr>
      <w:tr w:rsidR="00E65A19" w14:paraId="7F18C3D4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795A235F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116C57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MCG grade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C6A76C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Ordinal grading of ischemic burden based on MCG findings</w:t>
            </w:r>
          </w:p>
        </w:tc>
      </w:tr>
      <w:tr w:rsidR="00E65A19" w14:paraId="6C30CB40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02E3C44E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D658B4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Risk of persistent atrial fibrillation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A80FCA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Estimated risk score for persistent atrial fibrillation</w:t>
            </w:r>
          </w:p>
        </w:tc>
      </w:tr>
      <w:tr w:rsidR="00E65A19" w14:paraId="52CC8B7F" w14:textId="77777777">
        <w:trPr>
          <w:jc w:val="center"/>
        </w:trPr>
        <w:tc>
          <w:tcPr>
            <w:tcW w:w="3575" w:type="dxa"/>
            <w:vMerge/>
            <w:shd w:val="clear" w:color="auto" w:fill="auto"/>
            <w:vAlign w:val="center"/>
          </w:tcPr>
          <w:p w14:paraId="22C13478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C28B0D5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Conduction block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640586A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Presence of MCG pattern suggesting atrioventricular block</w:t>
            </w:r>
          </w:p>
        </w:tc>
      </w:tr>
    </w:tbl>
    <w:p w14:paraId="61041953" w14:textId="77777777" w:rsidR="00E65A19" w:rsidRDefault="00E65A19"/>
    <w:p w14:paraId="04599C95" w14:textId="77777777" w:rsidR="00E65A19" w:rsidRDefault="00E65A19">
      <w:pPr>
        <w:pStyle w:val="a3"/>
        <w:adjustRightInd w:val="0"/>
        <w:snapToGrid w:val="0"/>
        <w:spacing w:beforeLines="0" w:before="240" w:afterLines="0" w:after="240" w:line="288" w:lineRule="auto"/>
        <w:rPr>
          <w:rFonts w:ascii="Times New Roman" w:eastAsia="Times New Roman" w:hAnsi="Times New Roman" w:cs="Times New Roman"/>
          <w:szCs w:val="21"/>
        </w:rPr>
      </w:pPr>
    </w:p>
    <w:p w14:paraId="1601881A" w14:textId="77777777" w:rsidR="00E65A19" w:rsidRDefault="00E65A19">
      <w:pPr>
        <w:pStyle w:val="a3"/>
        <w:adjustRightInd w:val="0"/>
        <w:snapToGrid w:val="0"/>
        <w:spacing w:beforeLines="0" w:before="240" w:afterLines="0" w:after="240" w:line="288" w:lineRule="auto"/>
        <w:rPr>
          <w:rFonts w:ascii="Times New Roman" w:eastAsia="Times New Roman" w:hAnsi="Times New Roman" w:cs="Times New Roman"/>
          <w:szCs w:val="21"/>
        </w:rPr>
      </w:pPr>
    </w:p>
    <w:p w14:paraId="4D72FB01" w14:textId="77777777" w:rsidR="00E65A19" w:rsidRDefault="00E65A19">
      <w:pPr>
        <w:pStyle w:val="a3"/>
        <w:adjustRightInd w:val="0"/>
        <w:snapToGrid w:val="0"/>
        <w:spacing w:beforeLines="0" w:before="240" w:afterLines="0" w:after="240" w:line="288" w:lineRule="auto"/>
        <w:rPr>
          <w:rFonts w:ascii="Times New Roman" w:eastAsia="Times New Roman" w:hAnsi="Times New Roman" w:cs="Times New Roman"/>
          <w:szCs w:val="21"/>
        </w:rPr>
      </w:pPr>
    </w:p>
    <w:p w14:paraId="0A67D8B0" w14:textId="77777777" w:rsidR="00E65A19" w:rsidRDefault="000B1C2A">
      <w:pPr>
        <w:pStyle w:val="a3"/>
        <w:adjustRightInd w:val="0"/>
        <w:snapToGrid w:val="0"/>
        <w:spacing w:beforeLines="0" w:before="240" w:afterLines="0" w:after="240" w:line="288" w:lineRule="auto"/>
      </w:pPr>
      <w:r>
        <w:rPr>
          <w:rFonts w:ascii="Times New Roman" w:eastAsia="Times New Roman" w:hAnsi="Times New Roman" w:cs="Times New Roman" w:hint="eastAsia"/>
          <w:szCs w:val="21"/>
        </w:rPr>
        <w:lastRenderedPageBreak/>
        <w:t>Supplementary Table</w:t>
      </w:r>
      <w:r>
        <w:rPr>
          <w:rFonts w:ascii="Times New Roman" w:eastAsia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szCs w:val="21"/>
        </w:rPr>
        <w:t>2</w:t>
      </w:r>
      <w:r>
        <w:t xml:space="preserve">. </w:t>
      </w:r>
      <w:r>
        <w:rPr>
          <w:rFonts w:hint="eastAsia"/>
        </w:rPr>
        <w:t>Extracted CCTA parameters</w:t>
      </w:r>
      <w:r>
        <w:t>.</w:t>
      </w:r>
    </w:p>
    <w:tbl>
      <w:tblPr>
        <w:tblW w:w="102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3138"/>
        <w:gridCol w:w="4638"/>
      </w:tblGrid>
      <w:tr w:rsidR="00E65A19" w14:paraId="6D7CAC97" w14:textId="77777777">
        <w:trPr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7910DCD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21"/>
              </w:rPr>
              <w:t>Classification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4EF7CD8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21"/>
              </w:rPr>
              <w:t>Parameter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2930225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21"/>
              </w:rPr>
              <w:t>Description</w:t>
            </w:r>
          </w:p>
        </w:tc>
      </w:tr>
      <w:tr w:rsidR="00E65A19" w14:paraId="0447E488" w14:textId="77777777">
        <w:trPr>
          <w:trHeight w:val="995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3C673E1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Coronary plaque assessment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2C550AF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Plaque composition (vessel-level)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3D75D36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Vessel-level plaque composition recorded for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 xml:space="preserve"> LAD, LCX, and RCA as no plaque, non-calcified, calcified, or mixed</w:t>
            </w:r>
          </w:p>
        </w:tc>
      </w:tr>
      <w:tr w:rsidR="00E65A19" w14:paraId="4470B31D" w14:textId="77777777">
        <w:trPr>
          <w:trHeight w:val="997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491A692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Coronary calcification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EC23DD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Coronary artery calcium score (CACS)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7E73CAB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Agatston calcium score</w:t>
            </w:r>
          </w:p>
        </w:tc>
      </w:tr>
      <w:tr w:rsidR="00E65A19" w14:paraId="05BADB0A" w14:textId="77777777">
        <w:trPr>
          <w:trHeight w:val="959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07D9FCA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Perivascular fat metric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6B5DF3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Fat attenuation index (FAI)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3C41777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 xml:space="preserve">Perivascular fat attenuation index measured for 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LAD/LCX/RCA in systolic and diastolic phases</w:t>
            </w:r>
          </w:p>
        </w:tc>
      </w:tr>
      <w:tr w:rsidR="00E65A19" w14:paraId="5A28EEFC" w14:textId="77777777">
        <w:trPr>
          <w:trHeight w:val="959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7B556E1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Contrast attenuation metric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7D71A40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Transluminal attenuation gradient (TAG)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59EB251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Transluminal attenuation gradient measured along LAD/LCX/RCA in systolic and diastolic phases</w:t>
            </w:r>
          </w:p>
        </w:tc>
      </w:tr>
      <w:tr w:rsidR="00E65A19" w14:paraId="36C41B07" w14:textId="77777777">
        <w:trPr>
          <w:trHeight w:val="757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71BD23A8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Cardiac chamber parameter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8A0153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Left atrial volume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49B008F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Left atrial volume measured in systolic and diastolic phases</w:t>
            </w:r>
          </w:p>
        </w:tc>
      </w:tr>
    </w:tbl>
    <w:p w14:paraId="3AE905CE" w14:textId="77777777" w:rsidR="00E65A19" w:rsidRDefault="00E65A19">
      <w:pPr>
        <w:pStyle w:val="a3"/>
        <w:adjustRightInd w:val="0"/>
        <w:snapToGrid w:val="0"/>
        <w:spacing w:beforeLines="0" w:before="240" w:afterLines="0" w:after="240" w:line="288" w:lineRule="auto"/>
        <w:jc w:val="both"/>
      </w:pPr>
    </w:p>
    <w:p w14:paraId="5AB7BDEF" w14:textId="77777777" w:rsidR="00E65A19" w:rsidRDefault="00E65A19">
      <w:pPr>
        <w:adjustRightInd w:val="0"/>
        <w:snapToGrid w:val="0"/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21"/>
        </w:rPr>
      </w:pPr>
    </w:p>
    <w:p w14:paraId="52925E68" w14:textId="77777777" w:rsidR="00E65A19" w:rsidRDefault="00E65A19">
      <w:pPr>
        <w:adjustRightInd w:val="0"/>
        <w:snapToGrid w:val="0"/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21"/>
        </w:rPr>
      </w:pPr>
    </w:p>
    <w:p w14:paraId="655EECD9" w14:textId="77777777" w:rsidR="00E65A19" w:rsidRDefault="000B1C2A">
      <w:pPr>
        <w:adjustRightInd w:val="0"/>
        <w:snapToGrid w:val="0"/>
        <w:spacing w:before="240" w:after="240" w:line="288" w:lineRule="auto"/>
        <w:jc w:val="center"/>
        <w:rPr>
          <w:b/>
          <w:sz w:val="18"/>
        </w:rPr>
      </w:pPr>
      <w:r>
        <w:rPr>
          <w:rFonts w:ascii="Times New Roman" w:eastAsia="Times New Roman" w:hAnsi="Times New Roman" w:cs="Times New Roman" w:hint="eastAsia"/>
          <w:b/>
          <w:sz w:val="18"/>
          <w:szCs w:val="21"/>
        </w:rPr>
        <w:t xml:space="preserve">Supplementary </w:t>
      </w:r>
      <w:r>
        <w:rPr>
          <w:b/>
          <w:sz w:val="18"/>
        </w:rPr>
        <w:t xml:space="preserve">Table </w:t>
      </w:r>
      <w:r>
        <w:rPr>
          <w:rFonts w:hint="eastAsia"/>
          <w:b/>
          <w:sz w:val="18"/>
        </w:rPr>
        <w:t>3</w:t>
      </w:r>
      <w:r>
        <w:rPr>
          <w:b/>
          <w:sz w:val="18"/>
        </w:rPr>
        <w:t>. Performance of all machine learning models</w:t>
      </w:r>
      <w:r>
        <w:rPr>
          <w:rFonts w:hint="eastAsia"/>
          <w:b/>
          <w:sz w:val="18"/>
        </w:rPr>
        <w:t>.</w:t>
      </w:r>
    </w:p>
    <w:tbl>
      <w:tblPr>
        <w:tblW w:w="875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800"/>
        <w:gridCol w:w="952"/>
        <w:gridCol w:w="1020"/>
        <w:gridCol w:w="1035"/>
        <w:gridCol w:w="732"/>
        <w:gridCol w:w="807"/>
        <w:gridCol w:w="944"/>
      </w:tblGrid>
      <w:tr w:rsidR="00E65A19" w14:paraId="19833815" w14:textId="77777777">
        <w:trPr>
          <w:trHeight w:val="251"/>
          <w:jc w:val="center"/>
        </w:trPr>
        <w:tc>
          <w:tcPr>
            <w:tcW w:w="1461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0E9BE19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21"/>
              </w:rPr>
              <w:t>ML models</w:t>
            </w:r>
          </w:p>
        </w:tc>
        <w:tc>
          <w:tcPr>
            <w:tcW w:w="1800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B6CEC6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21"/>
              </w:rPr>
              <w:t>AUC(95% CI)</w:t>
            </w:r>
          </w:p>
        </w:tc>
        <w:tc>
          <w:tcPr>
            <w:tcW w:w="952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DF036A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21"/>
              </w:rPr>
              <w:t>Accuracy</w:t>
            </w:r>
          </w:p>
        </w:tc>
        <w:tc>
          <w:tcPr>
            <w:tcW w:w="1020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C4D499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21"/>
              </w:rPr>
              <w:t>Specificity</w:t>
            </w:r>
          </w:p>
        </w:tc>
        <w:tc>
          <w:tcPr>
            <w:tcW w:w="1035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44C946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21"/>
              </w:rPr>
              <w:t>Sensitivity</w:t>
            </w:r>
          </w:p>
        </w:tc>
        <w:tc>
          <w:tcPr>
            <w:tcW w:w="732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4707DF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21"/>
              </w:rPr>
              <w:t>PPV</w:t>
            </w:r>
          </w:p>
        </w:tc>
        <w:tc>
          <w:tcPr>
            <w:tcW w:w="807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B2BD2D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21"/>
              </w:rPr>
              <w:t>NPV</w:t>
            </w:r>
          </w:p>
        </w:tc>
        <w:tc>
          <w:tcPr>
            <w:tcW w:w="94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C61A0D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21"/>
              </w:rPr>
              <w:t>F1-scrore</w:t>
            </w:r>
          </w:p>
        </w:tc>
      </w:tr>
      <w:tr w:rsidR="00E65A19" w14:paraId="1BBF11C2" w14:textId="77777777">
        <w:trPr>
          <w:trHeight w:val="206"/>
          <w:jc w:val="center"/>
        </w:trPr>
        <w:tc>
          <w:tcPr>
            <w:tcW w:w="1461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C4F89E6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MCG Model</w:t>
            </w:r>
          </w:p>
        </w:tc>
        <w:tc>
          <w:tcPr>
            <w:tcW w:w="1800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5257371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B18BB41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2ABFB04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8BF552F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77541E7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0CDE61C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82AD396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</w:tr>
      <w:tr w:rsidR="00E65A19" w14:paraId="34CF17B8" w14:textId="77777777">
        <w:trPr>
          <w:trHeight w:val="248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97B1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LR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C027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0.682 (0.615-0.749)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EC9A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0.636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26FC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0.678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E018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0.561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54CF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0.491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C7D6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0.736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62C2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0.524</w:t>
            </w:r>
          </w:p>
        </w:tc>
      </w:tr>
      <w:tr w:rsidR="00E65A19" w14:paraId="62151C96" w14:textId="77777777">
        <w:trPr>
          <w:trHeight w:val="191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F7D4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RF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56E4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0.754 (0.691-0.816)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22AC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0.745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A546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0.853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51FE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0.551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E5EC8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0.675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F3D0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0.774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6F7D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0.607</w:t>
            </w:r>
          </w:p>
        </w:tc>
      </w:tr>
      <w:tr w:rsidR="00E65A19" w14:paraId="51BD78A6" w14:textId="77777777">
        <w:trPr>
          <w:trHeight w:val="206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709D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</w:rPr>
              <w:t>NB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65385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0.722 (0.656-0.787)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B8F9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 xml:space="preserve">0.720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F282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0.808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60D5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0.561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6628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0.618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3CDD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0.769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254D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0.588</w:t>
            </w:r>
          </w:p>
        </w:tc>
      </w:tr>
      <w:tr w:rsidR="00E65A19" w14:paraId="199DCF67" w14:textId="77777777">
        <w:trPr>
          <w:trHeight w:val="186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A87F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</w:rPr>
              <w:t>SVM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DCF9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0.699 (0.630-0.768)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8A7F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0.695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EBB9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0.751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33645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0.592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0903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0.569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9338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0.769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9FD2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0.580</w:t>
            </w:r>
          </w:p>
        </w:tc>
      </w:tr>
      <w:tr w:rsidR="00E65A19" w14:paraId="5254213E" w14:textId="77777777">
        <w:trPr>
          <w:trHeight w:val="241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692B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</w:rPr>
              <w:t>XGBoost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4CDE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0.769 (0.708-0.829)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01BD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0.731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C555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0.797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2AE5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0.612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FE19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0.625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71D9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0.788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84FD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0.619</w:t>
            </w:r>
          </w:p>
        </w:tc>
      </w:tr>
      <w:tr w:rsidR="00E65A19" w14:paraId="4B223734" w14:textId="77777777">
        <w:trPr>
          <w:trHeight w:val="227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43078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</w:rPr>
              <w:t>CCTA Model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25E2A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D6D56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BF46D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18411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89EF0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00FFA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5BC07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</w:tr>
      <w:tr w:rsidR="00E65A19" w14:paraId="6BD70E1F" w14:textId="77777777">
        <w:trPr>
          <w:trHeight w:val="254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30A3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</w:rPr>
              <w:t>LR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F21F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0.686 (0.613-0.758)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19DF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0.727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062B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0.808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DFB9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0.582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8282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0.626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C1C1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0.777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8947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0.603</w:t>
            </w:r>
          </w:p>
        </w:tc>
      </w:tr>
      <w:tr w:rsidR="00E65A19" w14:paraId="3E2E9A5B" w14:textId="77777777">
        <w:trPr>
          <w:trHeight w:val="179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74DF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RF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2353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0.725 (0.661-0.790)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1859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0.709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DE8C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0.785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51C1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0.571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F5D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0.596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868D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0.768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32C3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0.583</w:t>
            </w:r>
          </w:p>
        </w:tc>
      </w:tr>
      <w:tr w:rsidR="00E65A19" w14:paraId="6A5B27E9" w14:textId="77777777">
        <w:trPr>
          <w:trHeight w:val="289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8FF5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NB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C8AF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0.743 (0.677-0.808)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EC78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0.742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D1FC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0.814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9A9B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0.612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C6BE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0.645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2794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0.791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25AB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0.628</w:t>
            </w:r>
          </w:p>
        </w:tc>
      </w:tr>
      <w:tr w:rsidR="00E65A19" w14:paraId="7A980435" w14:textId="77777777">
        <w:trPr>
          <w:trHeight w:val="289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626F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 xml:space="preserve"> SVM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237B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0.708 (0.642-0.774)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36A6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0.658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9D74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0.672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AD5C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0.633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38B4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0.517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C57A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0.768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9EEF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0.569</w:t>
            </w:r>
          </w:p>
        </w:tc>
      </w:tr>
      <w:tr w:rsidR="00E65A19" w14:paraId="59DA1AF5" w14:textId="77777777">
        <w:trPr>
          <w:trHeight w:val="289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FBB3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</w:rPr>
              <w:t>XGBoost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8760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0.755 (0.692-0.818)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19061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0.731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EF04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0.785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19CC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0.633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7073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 xml:space="preserve">0.620 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88275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0.794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B866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0.626</w:t>
            </w:r>
          </w:p>
        </w:tc>
      </w:tr>
      <w:tr w:rsidR="00E65A19" w14:paraId="02DB66AB" w14:textId="77777777">
        <w:trPr>
          <w:trHeight w:val="289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B391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</w:rPr>
              <w:t>Combine Model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F1E2A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6B488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F9B38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D8966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0111B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45DDD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E2441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</w:tr>
      <w:tr w:rsidR="00E65A19" w14:paraId="19B69734" w14:textId="77777777">
        <w:trPr>
          <w:trHeight w:val="289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32BA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LR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2605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0.781 (0.724-0.838)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4F59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0.738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4E5F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0.785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C1E0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0.653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87D0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0.627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4A56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0.803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75C8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0.640</w:t>
            </w:r>
          </w:p>
        </w:tc>
      </w:tr>
      <w:tr w:rsidR="00E65A19" w14:paraId="24567BD8" w14:textId="77777777">
        <w:trPr>
          <w:trHeight w:val="289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FFE6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RF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DA3B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0.814 (0.758-0.869)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4E3A5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0.778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78E9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0.819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C891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0.704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2650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0.683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CA03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0.833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4380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0.693</w:t>
            </w:r>
          </w:p>
        </w:tc>
      </w:tr>
      <w:tr w:rsidR="00E65A19" w14:paraId="6B7DCCFA" w14:textId="77777777">
        <w:trPr>
          <w:trHeight w:val="289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9C3B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</w:rPr>
              <w:t>NB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A984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 xml:space="preserve">0.816 </w:t>
            </w: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(0.763-0.869)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31928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0.760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C4C3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0.842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1A3B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0.612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1772D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0.682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E8FD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0.797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7BE0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0.645</w:t>
            </w:r>
          </w:p>
        </w:tc>
      </w:tr>
      <w:tr w:rsidR="00E65A19" w14:paraId="0B9DD679" w14:textId="77777777">
        <w:trPr>
          <w:trHeight w:val="289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5227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</w:rPr>
              <w:t>SVM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8AB5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0.771 (0.711-0.831)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64B1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0.738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7AEA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0.808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CCC95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0.612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7FE2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0.638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9B0C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0.790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05B3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0.625</w:t>
            </w:r>
          </w:p>
        </w:tc>
      </w:tr>
      <w:tr w:rsidR="00E65A19" w14:paraId="6FF6A9E0" w14:textId="77777777">
        <w:trPr>
          <w:trHeight w:val="289"/>
          <w:jc w:val="center"/>
        </w:trPr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B2845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</w:rPr>
              <w:t>XGBoost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FB8F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0.829 (0.773-0.885)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D524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 xml:space="preserve">0.800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8F47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0.853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D0D28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0.704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AD14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0.726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E824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0.839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410B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0.715</w:t>
            </w:r>
          </w:p>
        </w:tc>
      </w:tr>
    </w:tbl>
    <w:p w14:paraId="2AFA11B8" w14:textId="77777777" w:rsidR="00E65A19" w:rsidRDefault="000B1C2A">
      <w:pPr>
        <w:pStyle w:val="a4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LR, Logistic Regression; RF, Random Forest; NB, Naive Bayes; SVM, Support Vetor Machine; XGBoost, Extreme Gradient Boosting. </w:t>
      </w:r>
      <w:r>
        <w:rPr>
          <w:rFonts w:ascii="Times New Roman" w:eastAsia="宋体" w:hAnsi="Times New Roman" w:cs="Times New Roman"/>
          <w:szCs w:val="20"/>
        </w:rPr>
        <w:t xml:space="preserve"> </w:t>
      </w:r>
    </w:p>
    <w:p w14:paraId="25E07946" w14:textId="77777777" w:rsidR="00E65A19" w:rsidRDefault="00E65A19">
      <w:pPr>
        <w:adjustRightInd w:val="0"/>
        <w:snapToGrid w:val="0"/>
        <w:spacing w:line="288" w:lineRule="auto"/>
        <w:ind w:firstLineChars="400" w:firstLine="840"/>
        <w:rPr>
          <w:rFonts w:eastAsia="宋体"/>
          <w:szCs w:val="20"/>
        </w:rPr>
      </w:pPr>
    </w:p>
    <w:p w14:paraId="71BEA925" w14:textId="77777777" w:rsidR="00E65A19" w:rsidRDefault="00E65A19"/>
    <w:p w14:paraId="286582C4" w14:textId="77777777" w:rsidR="00E65A19" w:rsidRDefault="000B1C2A">
      <w:pPr>
        <w:pStyle w:val="a3"/>
        <w:adjustRightInd w:val="0"/>
        <w:snapToGrid w:val="0"/>
        <w:spacing w:beforeLines="0" w:before="240" w:afterLines="0" w:after="240" w:line="288" w:lineRule="auto"/>
        <w:ind w:firstLineChars="300" w:firstLine="542"/>
        <w:jc w:val="both"/>
      </w:pPr>
      <w:r>
        <w:rPr>
          <w:rFonts w:ascii="Times New Roman" w:eastAsia="Times New Roman" w:hAnsi="Times New Roman" w:cs="Times New Roman" w:hint="eastAsia"/>
          <w:szCs w:val="21"/>
        </w:rPr>
        <w:lastRenderedPageBreak/>
        <w:t xml:space="preserve">Supplementary </w:t>
      </w:r>
      <w:r>
        <w:t xml:space="preserve">Table </w:t>
      </w: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 xml:space="preserve">Subgroup performance of the combined </w:t>
      </w:r>
      <w:r>
        <w:rPr>
          <w:rFonts w:eastAsia="宋体"/>
          <w:color w:val="000000"/>
        </w:rPr>
        <w:t>MCG-CCTA</w:t>
      </w:r>
      <w:r>
        <w:rPr>
          <w:rFonts w:hint="eastAsia"/>
        </w:rPr>
        <w:t xml:space="preserve"> XGBoost model</w:t>
      </w:r>
      <w:r>
        <w:t>.</w:t>
      </w:r>
    </w:p>
    <w:tbl>
      <w:tblPr>
        <w:tblW w:w="974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536"/>
        <w:gridCol w:w="1226"/>
        <w:gridCol w:w="3341"/>
      </w:tblGrid>
      <w:tr w:rsidR="00E65A19" w14:paraId="5F82F19C" w14:textId="77777777">
        <w:trPr>
          <w:jc w:val="center"/>
        </w:trPr>
        <w:tc>
          <w:tcPr>
            <w:tcW w:w="2643" w:type="dxa"/>
            <w:shd w:val="clear" w:color="auto" w:fill="auto"/>
          </w:tcPr>
          <w:p w14:paraId="21349171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21"/>
              </w:rPr>
              <w:t>Subgroup</w:t>
            </w:r>
          </w:p>
        </w:tc>
        <w:tc>
          <w:tcPr>
            <w:tcW w:w="2536" w:type="dxa"/>
            <w:shd w:val="clear" w:color="auto" w:fill="auto"/>
          </w:tcPr>
          <w:p w14:paraId="78B596D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21"/>
              </w:rPr>
              <w:t>Level</w:t>
            </w:r>
          </w:p>
        </w:tc>
        <w:tc>
          <w:tcPr>
            <w:tcW w:w="1226" w:type="dxa"/>
            <w:shd w:val="clear" w:color="auto" w:fill="auto"/>
          </w:tcPr>
          <w:p w14:paraId="3633225E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21"/>
              </w:rPr>
              <w:t>n</w:t>
            </w:r>
          </w:p>
        </w:tc>
        <w:tc>
          <w:tcPr>
            <w:tcW w:w="3341" w:type="dxa"/>
            <w:shd w:val="clear" w:color="auto" w:fill="auto"/>
          </w:tcPr>
          <w:p w14:paraId="7014F57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21"/>
              </w:rPr>
              <w:t>AUC(95% CI)</w:t>
            </w:r>
          </w:p>
        </w:tc>
      </w:tr>
      <w:tr w:rsidR="00E65A19" w14:paraId="6FCF2DC4" w14:textId="77777777">
        <w:trPr>
          <w:jc w:val="center"/>
        </w:trPr>
        <w:tc>
          <w:tcPr>
            <w:tcW w:w="2643" w:type="dxa"/>
            <w:shd w:val="clear" w:color="auto" w:fill="auto"/>
          </w:tcPr>
          <w:p w14:paraId="3B7B0CA3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Overall</w:t>
            </w:r>
          </w:p>
        </w:tc>
        <w:tc>
          <w:tcPr>
            <w:tcW w:w="2536" w:type="dxa"/>
            <w:shd w:val="clear" w:color="auto" w:fill="auto"/>
          </w:tcPr>
          <w:p w14:paraId="5683A12A" w14:textId="77777777" w:rsidR="00E65A19" w:rsidRDefault="00E65A19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1226" w:type="dxa"/>
            <w:shd w:val="clear" w:color="auto" w:fill="auto"/>
          </w:tcPr>
          <w:p w14:paraId="28825FB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275</w:t>
            </w:r>
          </w:p>
        </w:tc>
        <w:tc>
          <w:tcPr>
            <w:tcW w:w="3341" w:type="dxa"/>
            <w:shd w:val="clear" w:color="auto" w:fill="auto"/>
          </w:tcPr>
          <w:p w14:paraId="39627C5F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0.829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0.773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–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0.885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)</w:t>
            </w:r>
          </w:p>
        </w:tc>
      </w:tr>
      <w:tr w:rsidR="00E65A19" w14:paraId="73666004" w14:textId="77777777">
        <w:trPr>
          <w:jc w:val="center"/>
        </w:trPr>
        <w:tc>
          <w:tcPr>
            <w:tcW w:w="2643" w:type="dxa"/>
            <w:vMerge w:val="restart"/>
            <w:shd w:val="clear" w:color="auto" w:fill="auto"/>
          </w:tcPr>
          <w:p w14:paraId="69F33DB8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Hypertension</w:t>
            </w:r>
          </w:p>
          <w:p w14:paraId="180E82A3" w14:textId="77777777" w:rsidR="00E65A19" w:rsidRDefault="00E65A19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2536" w:type="dxa"/>
            <w:shd w:val="clear" w:color="auto" w:fill="auto"/>
          </w:tcPr>
          <w:p w14:paraId="43C647F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No</w:t>
            </w:r>
          </w:p>
        </w:tc>
        <w:tc>
          <w:tcPr>
            <w:tcW w:w="1226" w:type="dxa"/>
            <w:shd w:val="clear" w:color="auto" w:fill="auto"/>
          </w:tcPr>
          <w:p w14:paraId="7D76546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100</w:t>
            </w:r>
          </w:p>
        </w:tc>
        <w:tc>
          <w:tcPr>
            <w:tcW w:w="3341" w:type="dxa"/>
            <w:shd w:val="clear" w:color="auto" w:fill="auto"/>
          </w:tcPr>
          <w:p w14:paraId="12D02849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0.8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32 (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0.7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34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–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916)</w:t>
            </w:r>
          </w:p>
        </w:tc>
      </w:tr>
      <w:tr w:rsidR="00E65A19" w14:paraId="5A3D50C1" w14:textId="77777777">
        <w:trPr>
          <w:jc w:val="center"/>
        </w:trPr>
        <w:tc>
          <w:tcPr>
            <w:tcW w:w="2643" w:type="dxa"/>
            <w:vMerge/>
            <w:shd w:val="clear" w:color="auto" w:fill="auto"/>
          </w:tcPr>
          <w:p w14:paraId="27F665C1" w14:textId="77777777" w:rsidR="00E65A19" w:rsidRDefault="00E65A19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2536" w:type="dxa"/>
            <w:shd w:val="clear" w:color="auto" w:fill="auto"/>
          </w:tcPr>
          <w:p w14:paraId="638E0C7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Yes</w:t>
            </w:r>
          </w:p>
        </w:tc>
        <w:tc>
          <w:tcPr>
            <w:tcW w:w="1226" w:type="dxa"/>
            <w:shd w:val="clear" w:color="auto" w:fill="auto"/>
          </w:tcPr>
          <w:p w14:paraId="0EC46C58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175</w:t>
            </w:r>
          </w:p>
        </w:tc>
        <w:tc>
          <w:tcPr>
            <w:tcW w:w="3341" w:type="dxa"/>
            <w:shd w:val="clear" w:color="auto" w:fill="auto"/>
          </w:tcPr>
          <w:p w14:paraId="3B06D62B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743 (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662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–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0.8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18)</w:t>
            </w:r>
          </w:p>
        </w:tc>
      </w:tr>
      <w:tr w:rsidR="00E65A19" w14:paraId="79A1D36C" w14:textId="77777777">
        <w:trPr>
          <w:jc w:val="center"/>
        </w:trPr>
        <w:tc>
          <w:tcPr>
            <w:tcW w:w="2643" w:type="dxa"/>
            <w:vMerge w:val="restart"/>
            <w:shd w:val="clear" w:color="auto" w:fill="auto"/>
          </w:tcPr>
          <w:p w14:paraId="3900085C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History of smoking</w:t>
            </w:r>
          </w:p>
        </w:tc>
        <w:tc>
          <w:tcPr>
            <w:tcW w:w="2536" w:type="dxa"/>
            <w:shd w:val="clear" w:color="auto" w:fill="auto"/>
          </w:tcPr>
          <w:p w14:paraId="2C880863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No</w:t>
            </w:r>
          </w:p>
        </w:tc>
        <w:tc>
          <w:tcPr>
            <w:tcW w:w="1226" w:type="dxa"/>
            <w:shd w:val="clear" w:color="auto" w:fill="auto"/>
          </w:tcPr>
          <w:p w14:paraId="4FA498C5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228</w:t>
            </w:r>
          </w:p>
        </w:tc>
        <w:tc>
          <w:tcPr>
            <w:tcW w:w="3341" w:type="dxa"/>
            <w:shd w:val="clear" w:color="auto" w:fill="auto"/>
          </w:tcPr>
          <w:p w14:paraId="5448097C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735 (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661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–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0.8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)</w:t>
            </w:r>
          </w:p>
        </w:tc>
      </w:tr>
      <w:tr w:rsidR="00E65A19" w14:paraId="50AD2512" w14:textId="77777777">
        <w:trPr>
          <w:jc w:val="center"/>
        </w:trPr>
        <w:tc>
          <w:tcPr>
            <w:tcW w:w="2643" w:type="dxa"/>
            <w:vMerge/>
            <w:shd w:val="clear" w:color="auto" w:fill="auto"/>
          </w:tcPr>
          <w:p w14:paraId="0708BE1D" w14:textId="77777777" w:rsidR="00E65A19" w:rsidRDefault="00E65A19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2536" w:type="dxa"/>
            <w:shd w:val="clear" w:color="auto" w:fill="auto"/>
          </w:tcPr>
          <w:p w14:paraId="00E67014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Yes</w:t>
            </w:r>
          </w:p>
        </w:tc>
        <w:tc>
          <w:tcPr>
            <w:tcW w:w="1226" w:type="dxa"/>
            <w:shd w:val="clear" w:color="auto" w:fill="auto"/>
          </w:tcPr>
          <w:p w14:paraId="64A72BDA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47</w:t>
            </w:r>
          </w:p>
        </w:tc>
        <w:tc>
          <w:tcPr>
            <w:tcW w:w="3341" w:type="dxa"/>
            <w:shd w:val="clear" w:color="auto" w:fill="auto"/>
          </w:tcPr>
          <w:p w14:paraId="2B543D1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0.8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64 (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0.7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45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–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960)</w:t>
            </w:r>
          </w:p>
        </w:tc>
      </w:tr>
      <w:tr w:rsidR="00E65A19" w14:paraId="2741C253" w14:textId="77777777">
        <w:trPr>
          <w:jc w:val="center"/>
        </w:trPr>
        <w:tc>
          <w:tcPr>
            <w:tcW w:w="2643" w:type="dxa"/>
            <w:vMerge w:val="restart"/>
            <w:shd w:val="clear" w:color="auto" w:fill="auto"/>
          </w:tcPr>
          <w:p w14:paraId="4C7F96FC" w14:textId="77777777" w:rsidR="00E65A19" w:rsidRDefault="000B1C2A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18"/>
                <w:szCs w:val="21"/>
              </w:rPr>
              <w:t>Sex</w:t>
            </w:r>
          </w:p>
        </w:tc>
        <w:tc>
          <w:tcPr>
            <w:tcW w:w="2536" w:type="dxa"/>
            <w:shd w:val="clear" w:color="auto" w:fill="auto"/>
          </w:tcPr>
          <w:p w14:paraId="1BB73F6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Female</w:t>
            </w:r>
          </w:p>
        </w:tc>
        <w:tc>
          <w:tcPr>
            <w:tcW w:w="1226" w:type="dxa"/>
            <w:shd w:val="clear" w:color="auto" w:fill="auto"/>
          </w:tcPr>
          <w:p w14:paraId="0321F496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114</w:t>
            </w:r>
          </w:p>
        </w:tc>
        <w:tc>
          <w:tcPr>
            <w:tcW w:w="3341" w:type="dxa"/>
            <w:shd w:val="clear" w:color="auto" w:fill="auto"/>
          </w:tcPr>
          <w:p w14:paraId="75629A12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731 (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602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–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0.8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53)</w:t>
            </w:r>
          </w:p>
        </w:tc>
      </w:tr>
      <w:tr w:rsidR="00E65A19" w14:paraId="6952DDE9" w14:textId="77777777">
        <w:trPr>
          <w:jc w:val="center"/>
        </w:trPr>
        <w:tc>
          <w:tcPr>
            <w:tcW w:w="2643" w:type="dxa"/>
            <w:vMerge/>
            <w:shd w:val="clear" w:color="auto" w:fill="auto"/>
          </w:tcPr>
          <w:p w14:paraId="4DADB95C" w14:textId="77777777" w:rsidR="00E65A19" w:rsidRDefault="00E65A19">
            <w:pPr>
              <w:adjustRightInd w:val="0"/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21"/>
              </w:rPr>
            </w:pPr>
          </w:p>
        </w:tc>
        <w:tc>
          <w:tcPr>
            <w:tcW w:w="2536" w:type="dxa"/>
            <w:shd w:val="clear" w:color="auto" w:fill="auto"/>
          </w:tcPr>
          <w:p w14:paraId="29633575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Male</w:t>
            </w:r>
          </w:p>
        </w:tc>
        <w:tc>
          <w:tcPr>
            <w:tcW w:w="1226" w:type="dxa"/>
            <w:shd w:val="clear" w:color="auto" w:fill="auto"/>
          </w:tcPr>
          <w:p w14:paraId="171C6310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161</w:t>
            </w:r>
          </w:p>
        </w:tc>
        <w:tc>
          <w:tcPr>
            <w:tcW w:w="3341" w:type="dxa"/>
            <w:shd w:val="clear" w:color="auto" w:fill="auto"/>
          </w:tcPr>
          <w:p w14:paraId="187BC3E7" w14:textId="77777777" w:rsidR="00E65A19" w:rsidRDefault="000B1C2A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767 (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695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–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0.8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44)</w:t>
            </w:r>
          </w:p>
        </w:tc>
      </w:tr>
    </w:tbl>
    <w:p w14:paraId="73763C89" w14:textId="77777777" w:rsidR="00E65A19" w:rsidRDefault="00E65A19"/>
    <w:sectPr w:rsidR="00E6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19"/>
    <w:rsid w:val="000B1C2A"/>
    <w:rsid w:val="00E65A19"/>
    <w:rsid w:val="08064509"/>
    <w:rsid w:val="0D9A0C44"/>
    <w:rsid w:val="36C06878"/>
    <w:rsid w:val="39273420"/>
    <w:rsid w:val="3EDB6F87"/>
    <w:rsid w:val="45943BC4"/>
    <w:rsid w:val="4E051F5A"/>
    <w:rsid w:val="51A927D1"/>
    <w:rsid w:val="51D535C6"/>
    <w:rsid w:val="5BE20254"/>
    <w:rsid w:val="5C545A2F"/>
    <w:rsid w:val="7707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33F166-896B-42A0-81ED-B035F763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题"/>
    <w:basedOn w:val="a"/>
    <w:semiHidden/>
    <w:qFormat/>
    <w:pPr>
      <w:spacing w:beforeLines="100" w:before="312" w:afterLines="100" w:after="312"/>
      <w:jc w:val="center"/>
    </w:pPr>
    <w:rPr>
      <w:b/>
      <w:sz w:val="18"/>
    </w:rPr>
  </w:style>
  <w:style w:type="paragraph" w:customStyle="1" w:styleId="a4">
    <w:name w:val="表注"/>
    <w:basedOn w:val="a3"/>
    <w:semiHidden/>
    <w:qFormat/>
    <w:pPr>
      <w:adjustRightInd w:val="0"/>
      <w:snapToGrid w:val="0"/>
      <w:spacing w:beforeLines="0" w:before="0" w:afterLines="0" w:after="0" w:line="288" w:lineRule="auto"/>
      <w:jc w:val="both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13042</dc:creator>
  <cp:lastModifiedBy>Brynlee Chua</cp:lastModifiedBy>
  <cp:revision>1</cp:revision>
  <dcterms:created xsi:type="dcterms:W3CDTF">2025-12-12T00:42:00Z</dcterms:created>
  <dcterms:modified xsi:type="dcterms:W3CDTF">2026-05-06T00:49:00Z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eyJoZGlkIjoiODk4NzJmMzM3NTJlNjNjOGVjYWYxMzc1ZjRhYmExYjIiLCJ1c2VySWQiOiIzOTExNzIzNTYifQ==</vt:lpwstr>
  </property>
  <property fmtid="{D5CDD505-2E9C-101B-9397-08002B2CF9AE}" pid="4" name="ICV">
    <vt:lpwstr>C93086607FD24AFCAF216DA7DC8F97C6_12</vt:lpwstr>
  </property>
  <property fmtid="{D5CDD505-2E9C-101B-9397-08002B2CF9AE}" pid="5" name="GrammarlyDocumentId">
    <vt:lpwstr>eb9d3833-c40f-4a91-9c29-f3d8c84a877f</vt:lpwstr>
  </property>
</Properties>
</file>